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362559">
      <w:pPr>
        <w:pStyle w:val="Ttulo1"/>
        <w:spacing w:before="92"/>
        <w:ind w:left="3107"/>
      </w:pPr>
      <w:r>
        <w:t>REQUERIMENTO 003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implantação de academias populares nos distritos de Cajazeiras-PB.</w:t>
      </w:r>
      <w:r w:rsidR="00161375">
        <w:t xml:space="preserve"> 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Pr="00362559">
        <w:rPr>
          <w:b w:val="0"/>
        </w:rPr>
        <w:t xml:space="preserve"> Em resumo, a implantação de academias populares nos distritos é fundamental para promover a saúde, prevenir doenças, fomentar a inclusão social e melhorar a qualidade de vida da população local.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2024-02-20T03:54:00Z</dcterms:created>
  <dcterms:modified xsi:type="dcterms:W3CDTF">2024-02-20T03:54:00Z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