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2B3318">
        <w:rPr>
          <w:rFonts w:ascii="Arial" w:eastAsia="Arial Unicode MS" w:hAnsi="Arial" w:cs="Arial"/>
          <w:b/>
          <w:sz w:val="24"/>
          <w:szCs w:val="24"/>
        </w:rPr>
        <w:t xml:space="preserve"> 16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2B3318">
        <w:rPr>
          <w:rFonts w:eastAsia="Arial Unicode MS"/>
        </w:rPr>
        <w:t xml:space="preserve"> Rua Raimundo Carola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353D98">
        <w:rPr>
          <w:rFonts w:eastAsia="Arial Unicode MS"/>
        </w:rPr>
        <w:t xml:space="preserve"> Bairro São José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2B3318">
        <w:rPr>
          <w:rFonts w:ascii="Arial" w:eastAsia="Arial Unicode MS" w:hAnsi="Arial" w:cs="Arial"/>
          <w:b/>
          <w:sz w:val="24"/>
          <w:szCs w:val="24"/>
        </w:rPr>
        <w:t>07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BB135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2023-03-06T13:38:00Z</dcterms:created>
  <dcterms:modified xsi:type="dcterms:W3CDTF">2023-03-06T13:38:00Z</dcterms:modified>
</cp:coreProperties>
</file>